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7"/>
      </w:tblGrid>
      <w:tr w:rsidR="00DF63E1" w:rsidRPr="00DF63E1" w:rsidTr="0026674F">
        <w:trPr>
          <w:jc w:val="center"/>
        </w:trPr>
        <w:tc>
          <w:tcPr>
            <w:tcW w:w="10338" w:type="dxa"/>
            <w:tcBorders>
              <w:top w:val="single" w:sz="8" w:space="0" w:color="7A7A7A"/>
              <w:left w:val="single" w:sz="8" w:space="0" w:color="7A7A7A"/>
              <w:bottom w:val="nil"/>
              <w:right w:val="single" w:sz="8" w:space="0" w:color="7A7A7A"/>
            </w:tcBorders>
            <w:shd w:val="clear" w:color="auto" w:fill="7A7A7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W w:w="84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F63E1" w:rsidRPr="00DF63E1" w:rsidTr="00764D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63E1" w:rsidRPr="00DF63E1" w:rsidRDefault="007D78B6" w:rsidP="00F468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CC00"/>
                      <w:sz w:val="27"/>
                      <w:lang w:eastAsia="it-IT"/>
                    </w:rPr>
                    <w:t xml:space="preserve">MODULO </w:t>
                  </w:r>
                  <w:proofErr w:type="gramStart"/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CC00"/>
                      <w:sz w:val="27"/>
                      <w:lang w:eastAsia="it-IT"/>
                    </w:rPr>
                    <w:t>SEGNALAZIONI  ALL’ORGANISMO</w:t>
                  </w:r>
                  <w:proofErr w:type="gramEnd"/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CC00"/>
                      <w:sz w:val="27"/>
                      <w:lang w:eastAsia="it-IT"/>
                    </w:rPr>
                    <w:t xml:space="preserve"> DI VIGILANZA</w:t>
                  </w:r>
                  <w:r w:rsidR="005D7F67">
                    <w:rPr>
                      <w:rFonts w:ascii="Arial Narrow" w:eastAsia="Times New Roman" w:hAnsi="Arial Narrow" w:cs="Times New Roman"/>
                      <w:b/>
                      <w:bCs/>
                      <w:color w:val="FFCC00"/>
                      <w:sz w:val="27"/>
                      <w:lang w:eastAsia="it-IT"/>
                    </w:rPr>
                    <w:t xml:space="preserve"> DI </w:t>
                  </w:r>
                  <w:r w:rsidR="002323E3">
                    <w:rPr>
                      <w:rFonts w:ascii="Arial Narrow" w:eastAsia="Times New Roman" w:hAnsi="Arial Narrow" w:cs="Times New Roman"/>
                      <w:b/>
                      <w:bCs/>
                      <w:color w:val="FFCC00"/>
                      <w:sz w:val="27"/>
                      <w:lang w:eastAsia="it-IT"/>
                    </w:rPr>
                    <w:t xml:space="preserve"> SOPRAN SPA</w:t>
                  </w:r>
                </w:p>
              </w:tc>
            </w:tr>
          </w:tbl>
          <w:p w:rsidR="00DF63E1" w:rsidRPr="00DF63E1" w:rsidRDefault="00DF63E1" w:rsidP="00DF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F63E1" w:rsidRPr="00DF63E1" w:rsidTr="00676EF8">
        <w:trPr>
          <w:jc w:val="center"/>
        </w:trPr>
        <w:tc>
          <w:tcPr>
            <w:tcW w:w="10338" w:type="dxa"/>
            <w:tcBorders>
              <w:top w:val="nil"/>
              <w:left w:val="single" w:sz="8" w:space="0" w:color="7A7A7A"/>
              <w:bottom w:val="nil"/>
              <w:right w:val="single" w:sz="8" w:space="0" w:color="7A7A7A"/>
            </w:tcBorders>
            <w:shd w:val="clear" w:color="auto" w:fill="FFFFFF" w:themeFill="background1"/>
            <w:tcMar>
              <w:top w:w="22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Ind w:w="100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05"/>
            </w:tblGrid>
            <w:tr w:rsidR="00676EF8" w:rsidTr="00676EF8">
              <w:trPr>
                <w:trHeight w:val="1206"/>
              </w:trPr>
              <w:tc>
                <w:tcPr>
                  <w:tcW w:w="1567" w:type="dxa"/>
                  <w:shd w:val="clear" w:color="auto" w:fill="F2F2F2" w:themeFill="background1" w:themeFillShade="F2"/>
                </w:tcPr>
                <w:p w:rsidR="00676EF8" w:rsidRDefault="00676EF8" w:rsidP="0067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  <w:t xml:space="preserve">                                                                                </w:t>
                  </w:r>
                </w:p>
                <w:p w:rsidR="00676EF8" w:rsidRDefault="00676EF8" w:rsidP="0067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</w:pPr>
                </w:p>
                <w:p w:rsidR="00676EF8" w:rsidRDefault="00676EF8" w:rsidP="0067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</w:pPr>
                </w:p>
                <w:p w:rsidR="00676EF8" w:rsidRDefault="00676EF8" w:rsidP="0067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</w:pPr>
                </w:p>
                <w:p w:rsidR="00676EF8" w:rsidRPr="000E6DD7" w:rsidRDefault="00676EF8" w:rsidP="0067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lang w:eastAsia="it-IT"/>
                    </w:rPr>
                    <w:t>Dlgs 231/01 art.6 comma 2bis</w:t>
                  </w:r>
                </w:p>
              </w:tc>
              <w:tc>
                <w:tcPr>
                  <w:tcW w:w="8505" w:type="dxa"/>
                  <w:shd w:val="clear" w:color="auto" w:fill="F2F2F2" w:themeFill="background1" w:themeFillShade="F2"/>
                </w:tcPr>
                <w:p w:rsidR="00676EF8" w:rsidRPr="007D78B6" w:rsidRDefault="00676EF8" w:rsidP="00676E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</w:pPr>
                  <w:r w:rsidRPr="007D78B6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>La Segnalazione ha ad oggetto il sospetto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di condotte illecite rilevanti ai sensi del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>D.Lgs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231/01 o</w:t>
                  </w:r>
                  <w:r w:rsidRPr="007D78B6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di violazione del modello di organizzazione, gestione e controllo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adottato dall’Ente.</w:t>
                  </w:r>
                </w:p>
                <w:p w:rsidR="00676EF8" w:rsidRDefault="00676EF8" w:rsidP="00676E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</w:pPr>
                  <w:r w:rsidRPr="007D78B6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>Gli autori delle segnalazioni sono preservati da qualsiasi forma di ritorsione o discriminazione in ambito professionale e ne viene garantita la riservatezza dell’identità nei limiti previsti dalla legge ovvero determinati dalla necessità di tutela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dell’Ente.</w:t>
                  </w:r>
                </w:p>
                <w:p w:rsidR="00676EF8" w:rsidRPr="007D78B6" w:rsidRDefault="00676EF8" w:rsidP="00676E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</w:pPr>
                  <w:r w:rsidRPr="007D78B6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>Le segnalazioni ricevute e l’opportunità di azioni conseguenti sono valutate ascoltando, se necessario, l’autore della segnalazione e/o il responsabile della presunta violazione.</w:t>
                  </w:r>
                </w:p>
                <w:p w:rsidR="00676EF8" w:rsidRPr="00E50FA2" w:rsidRDefault="00676EF8" w:rsidP="00676E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>E’</w:t>
                  </w:r>
                  <w:proofErr w:type="gramEnd"/>
                  <w:r w:rsidRPr="007D78B6">
                    <w:rPr>
                      <w:rFonts w:ascii="Arial" w:eastAsia="Times New Roman" w:hAnsi="Arial" w:cs="Arial"/>
                      <w:b/>
                      <w:bCs/>
                      <w:color w:val="5F5E62"/>
                      <w:sz w:val="20"/>
                      <w:szCs w:val="20"/>
                      <w:lang w:eastAsia="it-IT"/>
                    </w:rPr>
                    <w:t xml:space="preserve"> sanzionato l’utilizzo della segnalazione effettuata a mero scopo di ritorsione o intimidazione.</w:t>
                  </w:r>
                </w:p>
              </w:tc>
            </w:tr>
          </w:tbl>
          <w:p w:rsidR="00E06FCD" w:rsidRPr="00DF63E1" w:rsidRDefault="00E06FCD" w:rsidP="00DF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F63E1" w:rsidRPr="00DF63E1" w:rsidTr="0026674F">
        <w:trPr>
          <w:jc w:val="center"/>
        </w:trPr>
        <w:tc>
          <w:tcPr>
            <w:tcW w:w="10338" w:type="dxa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FFFFFF"/>
            <w:tcMar>
              <w:top w:w="22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88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7"/>
            </w:tblGrid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77FD" w:rsidRPr="00DF63E1" w:rsidRDefault="005977FD" w:rsidP="00094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35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5"/>
                  </w:tblGrid>
                  <w:tr w:rsidR="00DF63E1" w:rsidRPr="00DF63E1" w:rsidTr="00DF63E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016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5"/>
                        </w:tblGrid>
                        <w:tr w:rsidR="00DF63E1" w:rsidRPr="00DF63E1" w:rsidTr="00676EF8">
                          <w:trPr>
                            <w:trHeight w:val="222"/>
                          </w:trPr>
                          <w:tc>
                            <w:tcPr>
                              <w:tcW w:w="10165" w:type="dxa"/>
                              <w:tcBorders>
                                <w:top w:val="single" w:sz="8" w:space="0" w:color="BABABA"/>
                                <w:left w:val="single" w:sz="8" w:space="0" w:color="BABABA"/>
                                <w:bottom w:val="single" w:sz="8" w:space="0" w:color="BABABA"/>
                                <w:right w:val="single" w:sz="8" w:space="0" w:color="BABABA"/>
                              </w:tcBorders>
                              <w:shd w:val="clear" w:color="auto" w:fill="7A7A7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F63E1" w:rsidRPr="00DF63E1" w:rsidRDefault="005D7F67" w:rsidP="00DF63E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lang w:eastAsia="it-IT"/>
                                </w:rPr>
                                <w:t>OGGETTO DELLA SEGNALAZIONE</w:t>
                              </w:r>
                            </w:p>
                          </w:tc>
                        </w:tr>
                        <w:tr w:rsidR="00DF63E1" w:rsidRPr="00DF63E1" w:rsidTr="00676EF8">
                          <w:trPr>
                            <w:trHeight w:val="460"/>
                          </w:trPr>
                          <w:tc>
                            <w:tcPr>
                              <w:tcW w:w="10165" w:type="dxa"/>
                              <w:tcBorders>
                                <w:top w:val="single" w:sz="8" w:space="0" w:color="BABABA"/>
                                <w:left w:val="single" w:sz="8" w:space="0" w:color="BABABA"/>
                                <w:bottom w:val="single" w:sz="8" w:space="0" w:color="BABABA"/>
                                <w:right w:val="single" w:sz="8" w:space="0" w:color="BABABA"/>
                              </w:tcBorders>
                              <w:shd w:val="clear" w:color="auto" w:fill="F2F2F2" w:themeFill="background1" w:themeFillShade="F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F63E1" w:rsidRDefault="00DF63E1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p w:rsidR="005D7F67" w:rsidRPr="00DF63E1" w:rsidRDefault="005D7F67" w:rsidP="00B7246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F63E1" w:rsidRPr="00DF63E1" w:rsidRDefault="00DF63E1" w:rsidP="00DF63E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F5E62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5D7F67">
              <w:trPr>
                <w:trHeight w:val="4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57CF" w:rsidRPr="00DF63E1" w:rsidRDefault="00C957CF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rPr>
                <w:trHeight w:val="41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32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7"/>
                  </w:tblGrid>
                  <w:tr w:rsidR="00DF63E1" w:rsidRPr="00DF63E1" w:rsidTr="008A79AE">
                    <w:trPr>
                      <w:trHeight w:val="439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030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07"/>
                        </w:tblGrid>
                        <w:tr w:rsidR="00DF63E1" w:rsidRPr="00DF63E1" w:rsidTr="0026674F">
                          <w:trPr>
                            <w:trHeight w:val="271"/>
                          </w:trPr>
                          <w:tc>
                            <w:tcPr>
                              <w:tcW w:w="10307" w:type="dxa"/>
                              <w:tcBorders>
                                <w:top w:val="single" w:sz="8" w:space="0" w:color="BABABA"/>
                                <w:left w:val="single" w:sz="8" w:space="0" w:color="BABABA"/>
                                <w:bottom w:val="single" w:sz="8" w:space="0" w:color="BABABA"/>
                                <w:right w:val="single" w:sz="8" w:space="0" w:color="BABABA"/>
                              </w:tcBorders>
                              <w:shd w:val="clear" w:color="auto" w:fill="7A7A7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F63E1" w:rsidRPr="00DF63E1" w:rsidRDefault="005D7F67" w:rsidP="00DF63E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lang w:eastAsia="it-IT"/>
                                </w:rPr>
                                <w:t>DATI DEL SEGNALANTE</w:t>
                              </w:r>
                            </w:p>
                          </w:tc>
                        </w:tr>
                        <w:tr w:rsidR="00DF63E1" w:rsidRPr="00DF63E1" w:rsidTr="0026674F">
                          <w:trPr>
                            <w:trHeight w:val="2281"/>
                          </w:trPr>
                          <w:tc>
                            <w:tcPr>
                              <w:tcW w:w="10307" w:type="dxa"/>
                              <w:tcBorders>
                                <w:top w:val="single" w:sz="8" w:space="0" w:color="BABABA"/>
                                <w:left w:val="single" w:sz="8" w:space="0" w:color="BABABA"/>
                                <w:bottom w:val="single" w:sz="8" w:space="0" w:color="BABABA"/>
                                <w:right w:val="single" w:sz="8" w:space="0" w:color="BABABA"/>
                              </w:tcBorders>
                              <w:shd w:val="clear" w:color="auto" w:fill="F8F8F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641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2"/>
                                <w:gridCol w:w="36"/>
                              </w:tblGrid>
                              <w:tr w:rsidR="00DF63E1" w:rsidRPr="00DF63E1" w:rsidTr="005D7F67">
                                <w:trPr>
                                  <w:trHeight w:val="343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Style w:val="Grigliatabella"/>
                                      <w:tblpPr w:leftFromText="141" w:rightFromText="141" w:horzAnchor="margin" w:tblpY="405"/>
                                      <w:tblOverlap w:val="never"/>
                                      <w:tblW w:w="9862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8"/>
                                      <w:gridCol w:w="7774"/>
                                    </w:tblGrid>
                                    <w:tr w:rsidR="005D7F67" w:rsidTr="00676EF8">
                                      <w:trPr>
                                        <w:trHeight w:val="473"/>
                                      </w:trPr>
                                      <w:tc>
                                        <w:tcPr>
                                          <w:tcW w:w="2088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NOME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74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D7F67" w:rsidTr="00676EF8">
                                      <w:trPr>
                                        <w:trHeight w:val="473"/>
                                      </w:trPr>
                                      <w:tc>
                                        <w:tcPr>
                                          <w:tcW w:w="2088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COGNOME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74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D7F67" w:rsidTr="00676EF8">
                                      <w:trPr>
                                        <w:trHeight w:val="473"/>
                                      </w:trPr>
                                      <w:tc>
                                        <w:tcPr>
                                          <w:tcW w:w="2088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TELEFONO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74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D7F67" w:rsidTr="00676EF8">
                                      <w:trPr>
                                        <w:trHeight w:val="473"/>
                                      </w:trPr>
                                      <w:tc>
                                        <w:tcPr>
                                          <w:tcW w:w="2088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MAIL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74" w:type="dxa"/>
                                        </w:tcPr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5D7F67" w:rsidRDefault="005D7F67" w:rsidP="005D7F67">
                                          <w:pP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0D57" w:rsidRPr="00FD2631" w:rsidRDefault="00020D57" w:rsidP="00E209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F63E1" w:rsidRPr="00DF63E1" w:rsidRDefault="00DF63E1" w:rsidP="00DF63E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63E1" w:rsidRPr="00FD2631" w:rsidRDefault="00DF63E1" w:rsidP="00FD2631">
                              <w:pP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F63E1" w:rsidRDefault="00DF63E1" w:rsidP="00DF63E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8A79AE" w:rsidRDefault="008A79AE" w:rsidP="00DF63E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8A79AE" w:rsidRPr="00DF63E1" w:rsidRDefault="008A79AE" w:rsidP="00DF63E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8A79AE" w:rsidRPr="00DF63E1" w:rsidTr="008A79AE">
                    <w:trPr>
                      <w:trHeight w:val="48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79AE" w:rsidRPr="00DF63E1" w:rsidRDefault="008A79AE" w:rsidP="00A2609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8A79AE" w:rsidRPr="00DF63E1" w:rsidTr="008A79AE">
                    <w:trPr>
                      <w:trHeight w:val="410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83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27"/>
                        </w:tblGrid>
                        <w:tr w:rsidR="008A79AE" w:rsidRPr="00DF63E1" w:rsidTr="00A26093">
                          <w:trPr>
                            <w:trHeight w:val="439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30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07"/>
                              </w:tblGrid>
                              <w:tr w:rsidR="008A79AE" w:rsidRPr="00DF63E1" w:rsidTr="00A26093">
                                <w:trPr>
                                  <w:trHeight w:val="271"/>
                                </w:trPr>
                                <w:tc>
                                  <w:tcPr>
                                    <w:tcW w:w="10307" w:type="dxa"/>
                                    <w:tcBorders>
                                      <w:top w:val="single" w:sz="8" w:space="0" w:color="BABABA"/>
                                      <w:left w:val="single" w:sz="8" w:space="0" w:color="BABABA"/>
                                      <w:bottom w:val="single" w:sz="8" w:space="0" w:color="BABABA"/>
                                      <w:right w:val="single" w:sz="8" w:space="0" w:color="BABABA"/>
                                    </w:tcBorders>
                                    <w:shd w:val="clear" w:color="auto" w:fill="7A7A7A"/>
                                    <w:tcMar>
                                      <w:top w:w="15" w:type="dxa"/>
                                      <w:left w:w="22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A79AE" w:rsidRPr="00DF63E1" w:rsidRDefault="008A79AE" w:rsidP="00A26093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lang w:eastAsia="it-IT"/>
                                      </w:rPr>
                                      <w:lastRenderedPageBreak/>
                                      <w:t>INVIO DELLA SEGNALAZIONE</w:t>
                                    </w:r>
                                  </w:p>
                                </w:tc>
                              </w:tr>
                              <w:tr w:rsidR="008A79AE" w:rsidRPr="00DF63E1" w:rsidTr="002A5AD5">
                                <w:trPr>
                                  <w:trHeight w:val="2178"/>
                                </w:trPr>
                                <w:tc>
                                  <w:tcPr>
                                    <w:tcW w:w="10307" w:type="dxa"/>
                                    <w:tcBorders>
                                      <w:top w:val="single" w:sz="8" w:space="0" w:color="BABABA"/>
                                      <w:left w:val="single" w:sz="8" w:space="0" w:color="BABABA"/>
                                      <w:bottom w:val="single" w:sz="8" w:space="0" w:color="BABABA"/>
                                      <w:right w:val="single" w:sz="8" w:space="0" w:color="BABABA"/>
                                    </w:tcBorders>
                                    <w:shd w:val="clear" w:color="auto" w:fill="F8F8F8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86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9"/>
                                      <w:gridCol w:w="36"/>
                                    </w:tblGrid>
                                    <w:tr w:rsidR="008A79AE" w:rsidRPr="00DF63E1" w:rsidTr="00764D05">
                                      <w:trPr>
                                        <w:trHeight w:val="2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A79AE" w:rsidRDefault="008A79AE" w:rsidP="00A2609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Il presente modulo di segnalazione va inviato secondo le due seguenti modalità, in alternativa:</w:t>
                                          </w:r>
                                        </w:p>
                                        <w:p w:rsidR="008A79AE" w:rsidRPr="002A5AD5" w:rsidRDefault="008A79AE" w:rsidP="002A5AD5">
                                          <w:pPr>
                                            <w:pStyle w:val="Paragrafoelenco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2A5AD5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invio per posta ordinaria</w:t>
                                          </w:r>
                                          <w:r w:rsidR="002A5AD5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2A5AD5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al seguente indirizzo:</w:t>
                                          </w:r>
                                        </w:p>
                                        <w:p w:rsidR="002323E3" w:rsidRDefault="002323E3" w:rsidP="00F468BE">
                                          <w:pPr>
                                            <w:pStyle w:val="Paragrafoelenco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Organismo di Vigilanza c/o Sopran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SpA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 Via Leonardo da Vinci, 150 </w:t>
                                          </w:r>
                                        </w:p>
                                        <w:p w:rsidR="00F468BE" w:rsidRDefault="002323E3" w:rsidP="00F468BE">
                                          <w:pPr>
                                            <w:pStyle w:val="Paragrafoelenco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20090 Trezzano sul Naviglio (MI)</w:t>
                                          </w:r>
                                        </w:p>
                                        <w:p w:rsidR="008A79AE" w:rsidRPr="002A5AD5" w:rsidRDefault="008A79AE" w:rsidP="002A5AD5">
                                          <w:pPr>
                                            <w:pStyle w:val="Paragrafoelenco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2A5AD5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invio al seguente indirizzo di posta elettronica </w:t>
                                          </w:r>
                                          <w:r w:rsidR="00D20F6C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dell’</w:t>
                                          </w:r>
                                          <w:proofErr w:type="spellStart"/>
                                          <w:r w:rsidR="00D20F6C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OdV</w:t>
                                          </w:r>
                                          <w:proofErr w:type="spellEnd"/>
                                          <w:r w:rsidRPr="002A5AD5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: </w:t>
                                          </w:r>
                                        </w:p>
                                        <w:p w:rsidR="002323E3" w:rsidRDefault="002323E3" w:rsidP="002323E3">
                                          <w:pPr>
                                            <w:pStyle w:val="Paragrafoelenco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hyperlink r:id="rId8" w:history="1">
                                            <w:r w:rsidRPr="002F6F2F">
                                              <w:rPr>
                                                <w:rStyle w:val="Collegamentoipertestuale"/>
                                                <w:rFonts w:ascii="Verdana" w:eastAsia="Times New Roman" w:hAnsi="Verdana" w:cs="Times New Roman"/>
                                                <w:sz w:val="20"/>
                                                <w:szCs w:val="20"/>
                                                <w:lang w:eastAsia="it-IT"/>
                                              </w:rPr>
                                              <w:t>odv@sopran.it</w:t>
                                            </w:r>
                                          </w:hyperlink>
                                        </w:p>
                                        <w:p w:rsidR="008A79AE" w:rsidRPr="002A5AD5" w:rsidRDefault="008A79AE" w:rsidP="002323E3">
                                          <w:pPr>
                                            <w:pStyle w:val="Paragrafoelenco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A79AE" w:rsidRPr="00DF63E1" w:rsidRDefault="008A79AE" w:rsidP="00A2609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A79AE" w:rsidRPr="00FD2631" w:rsidRDefault="008A79AE" w:rsidP="00A26093">
                                    <w:pPr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141" w:rightFromText="141" w:vertAnchor="text" w:horzAnchor="margin" w:tblpY="497"/>
                                <w:tblOverlap w:val="never"/>
                                <w:tblW w:w="1030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07"/>
                              </w:tblGrid>
                              <w:tr w:rsidR="00676EF8" w:rsidRPr="00DF63E1" w:rsidTr="00676EF8">
                                <w:trPr>
                                  <w:trHeight w:val="215"/>
                                </w:trPr>
                                <w:tc>
                                  <w:tcPr>
                                    <w:tcW w:w="10307" w:type="dxa"/>
                                    <w:tcBorders>
                                      <w:top w:val="single" w:sz="8" w:space="0" w:color="BABABA"/>
                                      <w:left w:val="single" w:sz="8" w:space="0" w:color="BABABA"/>
                                      <w:bottom w:val="single" w:sz="8" w:space="0" w:color="BABABA"/>
                                      <w:right w:val="single" w:sz="8" w:space="0" w:color="BABABA"/>
                                    </w:tcBorders>
                                    <w:shd w:val="clear" w:color="auto" w:fill="7A7A7A"/>
                                    <w:tcMar>
                                      <w:top w:w="15" w:type="dxa"/>
                                      <w:left w:w="22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76EF8" w:rsidRPr="00DF63E1" w:rsidRDefault="00676EF8" w:rsidP="00676EF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5D7F6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lang w:eastAsia="it-IT"/>
                                      </w:rPr>
                                      <w:t xml:space="preserve">Informativa ai sensi dell’art.13 e 14 del Regolamento UE 2016/ 679 (GDPR) e del </w:t>
                                    </w:r>
                                    <w:proofErr w:type="gramStart"/>
                                    <w:r w:rsidRPr="005D7F6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lang w:eastAsia="it-IT"/>
                                      </w:rPr>
                                      <w:t>D.Lgs</w:t>
                                    </w:r>
                                    <w:proofErr w:type="gramEnd"/>
                                    <w:r w:rsidRPr="005D7F6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lang w:eastAsia="it-IT"/>
                                      </w:rPr>
                                      <w:t>.10 agosto 2018, n.101 - Disposizioni per l’adeguamento della normativa nazionale in materia di protezione dei dati personali (unitamente “Normativa Privacy”)</w:t>
                                    </w:r>
                                  </w:p>
                                </w:tc>
                              </w:tr>
                              <w:tr w:rsidR="00676EF8" w:rsidRPr="00DF63E1" w:rsidTr="00676EF8">
                                <w:trPr>
                                  <w:trHeight w:val="301"/>
                                </w:trPr>
                                <w:tc>
                                  <w:tcPr>
                                    <w:tcW w:w="10307" w:type="dxa"/>
                                    <w:tcBorders>
                                      <w:top w:val="single" w:sz="8" w:space="0" w:color="BABABA"/>
                                      <w:left w:val="single" w:sz="8" w:space="0" w:color="BABABA"/>
                                      <w:bottom w:val="single" w:sz="8" w:space="0" w:color="BABABA"/>
                                      <w:right w:val="single" w:sz="8" w:space="0" w:color="BABABA"/>
                                    </w:tcBorders>
                                    <w:shd w:val="clear" w:color="auto" w:fill="F8F8F8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676EF8" w:rsidRPr="00DF63E1" w:rsidRDefault="00676EF8" w:rsidP="00676EF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Il trattamento dei dati personali raccolti mediante il presente modulo avverrà, in modalità sia manuale che con l’ausilio di strumenti elettronici, per le finalità di adempiere agli obblighi previsti dal </w:t>
                                    </w:r>
                                    <w:proofErr w:type="spellStart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D.Lgs.</w:t>
                                    </w:r>
                                    <w:proofErr w:type="spellEnd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231/01. Titolare del trattamento è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l’Ente titolare del Modello Organizzativo</w:t>
                                    </w: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, anche tramite l’Organismo di Vigilanza interno preposto alla procedura di segnalazione. Il conferimento dei dati è obbligatorio e la richiesta di consenso agli interessati non è necessaria ove ricorrano i presupposti di cui all’art.6 del Regolamento UE 2016/679 (es. adempimento obblighi di legge, esercizio di diritti in sede giudiziaria, tutela di interessi legittimi del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l’Ente</w:t>
                                    </w: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o di un terzo, </w:t>
                                    </w:r>
                                    <w:proofErr w:type="spellStart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etc</w:t>
                                    </w:r>
                                    <w:proofErr w:type="spellEnd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)</w:t>
                                    </w:r>
                                    <w:proofErr w:type="gramStart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. )</w:t>
                                    </w:r>
                                    <w:proofErr w:type="gramEnd"/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.</w:t>
                                    </w:r>
                                    <w:r w:rsidR="00D20F6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</w:t>
                                    </w: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Gli interessati, salvo ipotesi di deroga previste dalla Normativa Privacy, potranno esercitare i diritti a loro riconosciuti dall’art. 15 al 22 del GDPR inviando una richiesta per iscritto al Responsabile della Protezione dei Dati del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l’Ente</w:t>
                                    </w: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mediante posta elettronica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, </w:t>
                                    </w:r>
                                    <w:r w:rsidRPr="005D7F6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allegando un valido documento di riconoscimento.</w:t>
                                    </w:r>
                                  </w:p>
                                </w:tc>
                              </w:tr>
                            </w:tbl>
                            <w:p w:rsidR="008A79AE" w:rsidRPr="00DF63E1" w:rsidRDefault="008A79AE" w:rsidP="00A2609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8A79AE" w:rsidRPr="00DF63E1" w:rsidRDefault="008A79AE" w:rsidP="00A2609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35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5"/>
                  </w:tblGrid>
                  <w:tr w:rsidR="00DF63E1" w:rsidRPr="00DF63E1" w:rsidTr="00DF63E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63E1" w:rsidRPr="00DF63E1" w:rsidRDefault="00DF63E1" w:rsidP="00DF63E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F63E1" w:rsidRPr="00DF63E1" w:rsidTr="00E2093D">
              <w:trPr>
                <w:trHeight w:val="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3E1" w:rsidRPr="00DF63E1" w:rsidRDefault="00DF63E1" w:rsidP="00DF63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2093D" w:rsidRDefault="00E2093D" w:rsidP="00E2093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  <w:rPr>
                <w:sz w:val="24"/>
              </w:rPr>
            </w:pPr>
            <w:r w:rsidRPr="00387EFD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Dichiarazioni rilasciate </w:t>
            </w:r>
            <w:r w:rsidRPr="00387EFD">
              <w:rPr>
                <w:rFonts w:cstheme="minorHAnsi"/>
                <w:sz w:val="24"/>
                <w:szCs w:val="24"/>
              </w:rPr>
              <w:t>sotto la propria</w:t>
            </w:r>
            <w:r w:rsidRPr="00CA44F1">
              <w:rPr>
                <w:sz w:val="24"/>
              </w:rPr>
              <w:t xml:space="preserve"> responsabilità e consapevole delle sanzioni penali a carico di chi rilascia dichiarazioni mendaci e forma atti falsi, ai sensi degli Artt. 75 e 76, D</w:t>
            </w:r>
            <w:r>
              <w:rPr>
                <w:sz w:val="24"/>
              </w:rPr>
              <w:t>.P.R. 28 dicembre 2000, n. 445.</w:t>
            </w:r>
          </w:p>
          <w:p w:rsidR="00764D05" w:rsidRDefault="00764D05" w:rsidP="00E20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</w:pPr>
          </w:p>
          <w:p w:rsidR="00C957CF" w:rsidRDefault="00DF63E1" w:rsidP="00E20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</w:pPr>
            <w:r w:rsidRPr="00DF63E1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>Firma</w:t>
            </w:r>
            <w:r w:rsidR="00764D05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 xml:space="preserve"> leggibile</w:t>
            </w:r>
            <w:r w:rsidRPr="00DF63E1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 xml:space="preserve"> </w:t>
            </w:r>
            <w:r w:rsidR="00E2093D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>………………………………………………</w:t>
            </w:r>
            <w:proofErr w:type="gramStart"/>
            <w:r w:rsidR="00E2093D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>…….</w:t>
            </w:r>
            <w:proofErr w:type="gramEnd"/>
            <w:r w:rsidR="00E2093D"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  <w:t>.</w:t>
            </w:r>
          </w:p>
          <w:p w:rsidR="00E2093D" w:rsidRPr="00DF63E1" w:rsidRDefault="00E2093D" w:rsidP="00E20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F5E62"/>
                <w:sz w:val="20"/>
                <w:lang w:eastAsia="it-IT"/>
              </w:rPr>
            </w:pPr>
          </w:p>
        </w:tc>
      </w:tr>
    </w:tbl>
    <w:p w:rsidR="00961864" w:rsidRDefault="00961864"/>
    <w:sectPr w:rsidR="00961864" w:rsidSect="003957DD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F7" w:rsidRDefault="00B544F7" w:rsidP="00D20F6C">
      <w:pPr>
        <w:spacing w:after="0" w:line="240" w:lineRule="auto"/>
      </w:pPr>
      <w:r>
        <w:separator/>
      </w:r>
    </w:p>
  </w:endnote>
  <w:endnote w:type="continuationSeparator" w:id="0">
    <w:p w:rsidR="00B544F7" w:rsidRDefault="00B544F7" w:rsidP="00D2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9709"/>
      <w:docPartObj>
        <w:docPartGallery w:val="Page Numbers (Bottom of Page)"/>
        <w:docPartUnique/>
      </w:docPartObj>
    </w:sdtPr>
    <w:sdtEndPr/>
    <w:sdtContent>
      <w:p w:rsidR="00D20F6C" w:rsidRDefault="00D20F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0F6C" w:rsidRDefault="00D20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F7" w:rsidRDefault="00B544F7" w:rsidP="00D20F6C">
      <w:pPr>
        <w:spacing w:after="0" w:line="240" w:lineRule="auto"/>
      </w:pPr>
      <w:r>
        <w:separator/>
      </w:r>
    </w:p>
  </w:footnote>
  <w:footnote w:type="continuationSeparator" w:id="0">
    <w:p w:rsidR="00B544F7" w:rsidRDefault="00B544F7" w:rsidP="00D2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0504"/>
    <w:multiLevelType w:val="hybridMultilevel"/>
    <w:tmpl w:val="1B3E6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1F29"/>
    <w:multiLevelType w:val="hybridMultilevel"/>
    <w:tmpl w:val="F2F2F144"/>
    <w:lvl w:ilvl="0" w:tplc="D38407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E1"/>
    <w:rsid w:val="000153EB"/>
    <w:rsid w:val="00020D57"/>
    <w:rsid w:val="00030F6A"/>
    <w:rsid w:val="0004294F"/>
    <w:rsid w:val="00065C97"/>
    <w:rsid w:val="00094968"/>
    <w:rsid w:val="000B1E79"/>
    <w:rsid w:val="000F22F7"/>
    <w:rsid w:val="000F2833"/>
    <w:rsid w:val="001009C2"/>
    <w:rsid w:val="00130C4A"/>
    <w:rsid w:val="00150D00"/>
    <w:rsid w:val="002322E4"/>
    <w:rsid w:val="002323E3"/>
    <w:rsid w:val="00247B10"/>
    <w:rsid w:val="00252CA8"/>
    <w:rsid w:val="0026674F"/>
    <w:rsid w:val="002A5AD5"/>
    <w:rsid w:val="003005F9"/>
    <w:rsid w:val="0031297D"/>
    <w:rsid w:val="0035066C"/>
    <w:rsid w:val="00353814"/>
    <w:rsid w:val="003821ED"/>
    <w:rsid w:val="003957DD"/>
    <w:rsid w:val="003A598D"/>
    <w:rsid w:val="003F3386"/>
    <w:rsid w:val="00546C59"/>
    <w:rsid w:val="005977FD"/>
    <w:rsid w:val="005B2198"/>
    <w:rsid w:val="005D132D"/>
    <w:rsid w:val="005D7F67"/>
    <w:rsid w:val="006421D9"/>
    <w:rsid w:val="00676EF8"/>
    <w:rsid w:val="0068384B"/>
    <w:rsid w:val="006D6C7C"/>
    <w:rsid w:val="006E1CA2"/>
    <w:rsid w:val="00741DBC"/>
    <w:rsid w:val="00764D05"/>
    <w:rsid w:val="007829F4"/>
    <w:rsid w:val="007C408A"/>
    <w:rsid w:val="007D78B6"/>
    <w:rsid w:val="007E2E72"/>
    <w:rsid w:val="008238AD"/>
    <w:rsid w:val="00826390"/>
    <w:rsid w:val="008270E8"/>
    <w:rsid w:val="0083767E"/>
    <w:rsid w:val="008765C1"/>
    <w:rsid w:val="00884565"/>
    <w:rsid w:val="008A79AE"/>
    <w:rsid w:val="008C5567"/>
    <w:rsid w:val="009237BC"/>
    <w:rsid w:val="00961864"/>
    <w:rsid w:val="009A3223"/>
    <w:rsid w:val="009F2EF6"/>
    <w:rsid w:val="00A34ADF"/>
    <w:rsid w:val="00A751E7"/>
    <w:rsid w:val="00B06FCA"/>
    <w:rsid w:val="00B230ED"/>
    <w:rsid w:val="00B544F7"/>
    <w:rsid w:val="00B72461"/>
    <w:rsid w:val="00BA4391"/>
    <w:rsid w:val="00BB4346"/>
    <w:rsid w:val="00BC7769"/>
    <w:rsid w:val="00BD31F9"/>
    <w:rsid w:val="00BF63C6"/>
    <w:rsid w:val="00C957CF"/>
    <w:rsid w:val="00CC0795"/>
    <w:rsid w:val="00D20F6C"/>
    <w:rsid w:val="00D23CF9"/>
    <w:rsid w:val="00D338FC"/>
    <w:rsid w:val="00DF63E1"/>
    <w:rsid w:val="00E06FCD"/>
    <w:rsid w:val="00E2093D"/>
    <w:rsid w:val="00E3665B"/>
    <w:rsid w:val="00E50FA2"/>
    <w:rsid w:val="00F038F6"/>
    <w:rsid w:val="00F14752"/>
    <w:rsid w:val="00F30A90"/>
    <w:rsid w:val="00F468BE"/>
    <w:rsid w:val="00F60BD6"/>
    <w:rsid w:val="00FA61BD"/>
    <w:rsid w:val="00FD2631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FB5D"/>
  <w15:docId w15:val="{6138E8A9-A0D3-471A-AECC-3A343A5D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F63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5A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A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5A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0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F6C"/>
  </w:style>
  <w:style w:type="paragraph" w:styleId="Pidipagina">
    <w:name w:val="footer"/>
    <w:basedOn w:val="Normale"/>
    <w:link w:val="PidipaginaCarattere"/>
    <w:uiPriority w:val="99"/>
    <w:unhideWhenUsed/>
    <w:rsid w:val="00D20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061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3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9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1196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</w:divsChild>
            </w:div>
          </w:divsChild>
        </w:div>
        <w:div w:id="165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671">
              <w:marLeft w:val="0"/>
              <w:marRight w:val="0"/>
              <w:marTop w:val="0"/>
              <w:marBottom w:val="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502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@sopra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4C13-DB7D-4F77-8C4E-0AD4CF13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Marco Pecere</cp:lastModifiedBy>
  <cp:revision>2</cp:revision>
  <dcterms:created xsi:type="dcterms:W3CDTF">2019-11-06T14:41:00Z</dcterms:created>
  <dcterms:modified xsi:type="dcterms:W3CDTF">2019-11-06T14:41:00Z</dcterms:modified>
</cp:coreProperties>
</file>